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D90E" w14:textId="6A23DDCF" w:rsidR="008F0711" w:rsidRPr="00212A3A" w:rsidRDefault="00EB2ABE" w:rsidP="00EB2ABE">
      <w:pPr>
        <w:jc w:val="center"/>
        <w:rPr>
          <w:rFonts w:ascii="Exo 2" w:hAnsi="Exo 2" w:cs="Arial"/>
          <w:color w:val="000000"/>
        </w:rPr>
      </w:pPr>
      <w:r>
        <w:rPr>
          <w:rFonts w:ascii="Exo 2" w:hAnsi="Exo 2" w:cs="Arial"/>
          <w:noProof/>
          <w:color w:val="000000"/>
        </w:rPr>
        <w:drawing>
          <wp:inline distT="0" distB="0" distL="0" distR="0" wp14:anchorId="18E9082D" wp14:editId="34DF0086">
            <wp:extent cx="768350" cy="920750"/>
            <wp:effectExtent l="0" t="0" r="0" b="0"/>
            <wp:docPr id="2148656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35F38" w14:textId="21305BCC" w:rsidR="00212A3A" w:rsidRPr="003B6B0E" w:rsidRDefault="00212A3A" w:rsidP="00212A3A">
      <w:pPr>
        <w:jc w:val="center"/>
        <w:rPr>
          <w:rFonts w:ascii="Exo 2" w:hAnsi="Exo 2" w:cs="Arial"/>
          <w:b/>
          <w:bCs/>
          <w:color w:val="000000"/>
          <w:sz w:val="24"/>
          <w:szCs w:val="24"/>
        </w:rPr>
      </w:pPr>
      <w:r w:rsidRPr="003B6B0E">
        <w:rPr>
          <w:rFonts w:ascii="Exo 2" w:hAnsi="Exo 2" w:cs="Arial"/>
          <w:b/>
          <w:bCs/>
          <w:color w:val="000000"/>
          <w:sz w:val="24"/>
          <w:szCs w:val="24"/>
        </w:rPr>
        <w:t>Il sistema Fairtrade</w:t>
      </w:r>
    </w:p>
    <w:p w14:paraId="77F8E66B" w14:textId="074C7555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FAIRTRADE è un </w:t>
      </w: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grande movimento internazionale per la sostenibilità, i diritti umani e ambientali</w:t>
      </w:r>
      <w:r w:rsid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A783C" w:rsidRP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e</w:t>
      </w:r>
      <w:r w:rsid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A783C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un</w:t>
      </w:r>
      <w:r w:rsid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a</w:t>
      </w:r>
      <w:r w:rsidR="00DA783C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DA783C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famiglia di </w:t>
      </w:r>
      <w:r w:rsidR="00DA783C"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Marchi di certificazione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22AC9979" w14:textId="0CF89DD4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Fairtrade lavora con organizzazioni agricole di </w:t>
      </w:r>
      <w:r w:rsidRPr="0035732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Asia, Africa e America Latina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che coltivano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caffè, cacao, banane, tè, frutta secca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e molto altro per offrire prodotti che migliorano la qualità della vita, sia per chi li produce, che per chi li acquista.</w:t>
      </w:r>
    </w:p>
    <w:p w14:paraId="6E32ACFD" w14:textId="07FAF20B" w:rsidR="00212A3A" w:rsidRPr="003B6B0E" w:rsidRDefault="00212A3A" w:rsidP="00212A3A">
      <w:pPr>
        <w:spacing w:line="300" w:lineRule="atLeast"/>
        <w:rPr>
          <w:rFonts w:ascii="Exo 2" w:hAnsi="Exo 2" w:cs="Arial"/>
          <w:color w:val="000000"/>
        </w:rPr>
      </w:pPr>
      <w:r w:rsidRPr="003B6B0E">
        <w:rPr>
          <w:rFonts w:ascii="Exo 2" w:hAnsi="Exo 2" w:cs="Arial"/>
          <w:color w:val="000000"/>
        </w:rPr>
        <w:t xml:space="preserve">Le organizzazioni devono rispettare precisi Standard, pensati per affiancare gli agricoltori di fronte alle sfide del commercio globale. Migliorando il loro reddito, possono affrontare </w:t>
      </w:r>
      <w:r w:rsidR="00201555">
        <w:rPr>
          <w:rFonts w:ascii="Exo 2" w:hAnsi="Exo 2" w:cs="Arial"/>
          <w:color w:val="000000"/>
        </w:rPr>
        <w:t xml:space="preserve">con più sicurezza </w:t>
      </w:r>
      <w:r w:rsidRPr="003B6B0E">
        <w:rPr>
          <w:rFonts w:ascii="Exo 2" w:hAnsi="Exo 2" w:cs="Arial"/>
          <w:color w:val="000000"/>
        </w:rPr>
        <w:t xml:space="preserve">le sfide del commercio globale: dalla </w:t>
      </w:r>
      <w:r w:rsidRPr="00EB2ABE">
        <w:rPr>
          <w:rFonts w:ascii="Exo 2" w:hAnsi="Exo 2" w:cs="Arial"/>
          <w:b/>
          <w:bCs/>
          <w:color w:val="000000"/>
        </w:rPr>
        <w:t>lotta al cambiamento climatico</w:t>
      </w:r>
      <w:r w:rsidRPr="003B6B0E">
        <w:rPr>
          <w:rFonts w:ascii="Exo 2" w:hAnsi="Exo 2" w:cs="Arial"/>
          <w:color w:val="000000"/>
        </w:rPr>
        <w:t xml:space="preserve">, alla </w:t>
      </w:r>
      <w:r w:rsidRPr="00EB2ABE">
        <w:rPr>
          <w:rFonts w:ascii="Exo 2" w:hAnsi="Exo 2" w:cs="Arial"/>
          <w:b/>
          <w:bCs/>
          <w:color w:val="000000"/>
        </w:rPr>
        <w:t>protezione dell'ambiente</w:t>
      </w:r>
      <w:r w:rsidRPr="003B6B0E">
        <w:rPr>
          <w:rFonts w:ascii="Exo 2" w:hAnsi="Exo 2" w:cs="Arial"/>
          <w:color w:val="000000"/>
        </w:rPr>
        <w:t xml:space="preserve"> </w:t>
      </w:r>
      <w:r w:rsidR="00540099">
        <w:rPr>
          <w:rFonts w:ascii="Exo 2" w:hAnsi="Exo 2" w:cs="Arial"/>
          <w:color w:val="000000"/>
        </w:rPr>
        <w:t xml:space="preserve">e </w:t>
      </w:r>
      <w:r w:rsidRPr="00EB2ABE">
        <w:rPr>
          <w:rFonts w:ascii="Exo 2" w:hAnsi="Exo 2" w:cs="Arial"/>
          <w:b/>
          <w:bCs/>
          <w:color w:val="000000"/>
        </w:rPr>
        <w:t>al lavoro minorile</w:t>
      </w:r>
      <w:r w:rsidRPr="003B6B0E">
        <w:rPr>
          <w:rFonts w:ascii="Exo 2" w:hAnsi="Exo 2" w:cs="Arial"/>
          <w:color w:val="000000"/>
        </w:rPr>
        <w:t>.</w:t>
      </w:r>
    </w:p>
    <w:p w14:paraId="59DD4E2A" w14:textId="77777777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Ecco alcuni esempi:</w:t>
      </w:r>
    </w:p>
    <w:p w14:paraId="1A0C775A" w14:textId="6A2F3E67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Standard sociali </w:t>
      </w:r>
    </w:p>
    <w:p w14:paraId="6B4B8638" w14:textId="52B7AE17" w:rsidR="00212A3A" w:rsidRPr="003B6B0E" w:rsidRDefault="00212A3A" w:rsidP="00212A3A">
      <w:pPr>
        <w:pStyle w:val="Normale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Sono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vietati il lavoro forzato e il lavoro minorile, le discriminazioni per il genere, le scelte religiose e politiche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4B68F9F8" w14:textId="77777777" w:rsidR="00212A3A" w:rsidRPr="003B6B0E" w:rsidRDefault="00212A3A" w:rsidP="00212A3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Gli agricoltori sono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organizzati in modo democratico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(ad esempio in cooperative), devono mettere in atto processi decisionali partecipati, trasparenti e inclusivi, in particolare riguardo alla parità di genere.</w:t>
      </w:r>
    </w:p>
    <w:p w14:paraId="154A8107" w14:textId="77777777" w:rsidR="00212A3A" w:rsidRPr="003B6B0E" w:rsidRDefault="00212A3A" w:rsidP="00212A3A">
      <w:pPr>
        <w:pStyle w:val="Normale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Nei contesti delle piantagioni, dove i lavoratori Fairtrade sono dei dipendenti salariati, le aziende devono assumere su base non discriminatoria, pagare stipendi uguali o superiori ai salari minimi legali o locali, assicurare ai dipendenti libertà di associazione e contrattazione collettiva, salvaguardare la salute dei lavoratori e consentire loro di gestire il Premio Fairtrade.</w:t>
      </w:r>
    </w:p>
    <w:p w14:paraId="6644AC87" w14:textId="41F7D239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Standard economici</w:t>
      </w:r>
    </w:p>
    <w:p w14:paraId="739B9FB7" w14:textId="66C7DD9B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sz w:val="22"/>
          <w:szCs w:val="22"/>
          <w:lang w:eastAsia="en-US"/>
        </w:rPr>
        <w:t>L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e organizzazioni ricevono il </w:t>
      </w:r>
      <w:r w:rsidRPr="00DA783C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Prezzo Minimo Fairtrade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 che permette di coprire i costi medi di una produzione sostenibile e ha l’obiettivo di garantire una rete di salvataggio nel caso in cui i prezzi di mercato siano troppo bassi, e consente loro di fare programmi a lungo termine. Riguarda gli agricoltori strutturati in cooperative, che rappresentano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circa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l’80% degli agricoltori e lavoratori all’interno del circuito Fairtrade. D’altra parte, i lavoratori dipendenti delle aziende sono assunti secondo i contratti collettivi nazionali di riferimento.</w:t>
      </w:r>
    </w:p>
    <w:p w14:paraId="344B262B" w14:textId="4BEA7978" w:rsidR="00212A3A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Oltre al Prezzo Minimo, le organizzazioni ricevono una somma aggiuntiva, il </w:t>
      </w:r>
      <w:r w:rsidRPr="005B3FE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Premio Fairtrade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 per attivare progetti di interesse nelle comunità agricole. Ad esempio possono scegliere di migliorare le tecniche produttive, acquistare mezzi o prodotti per l’agricoltura, costruire strade e infrastrutture, coprire spese per l’istruzione dei bambini e delle bambine, costruire ambulatori medici, pozzi per l’acqua potabile a beneficio delle loro comunità. Nel caso delle aziende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,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vengono eletti dei rappresentati dei lavoratori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e lavoratrici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che costituiscono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un 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Comitato </w:t>
      </w:r>
      <w:r w:rsidR="005B3FE4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delegato a </w:t>
      </w:r>
      <w:r w:rsidR="00534742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decidere in merito al suo utilizzo.</w:t>
      </w:r>
    </w:p>
    <w:p w14:paraId="128BEE0A" w14:textId="77777777" w:rsidR="00370620" w:rsidRDefault="00370620" w:rsidP="00370620">
      <w:pPr>
        <w:pStyle w:val="NormaleWeb"/>
        <w:spacing w:before="0" w:beforeAutospacing="0" w:after="0" w:afterAutospacing="0"/>
        <w:ind w:left="36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</w:p>
    <w:p w14:paraId="7D595214" w14:textId="77777777" w:rsidR="00370620" w:rsidRDefault="00370620" w:rsidP="00370620">
      <w:pPr>
        <w:pStyle w:val="NormaleWeb"/>
        <w:spacing w:before="0" w:beforeAutospacing="0" w:after="0" w:afterAutospacing="0"/>
        <w:ind w:left="36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</w:p>
    <w:p w14:paraId="5AEC8CE8" w14:textId="77777777" w:rsidR="00370620" w:rsidRPr="003B6B0E" w:rsidRDefault="00370620" w:rsidP="00370620">
      <w:pPr>
        <w:pStyle w:val="NormaleWeb"/>
        <w:spacing w:before="0" w:beforeAutospacing="0" w:after="0" w:afterAutospacing="0"/>
        <w:ind w:left="36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</w:p>
    <w:p w14:paraId="42040EAC" w14:textId="16905647" w:rsidR="00212A3A" w:rsidRPr="003B6B0E" w:rsidRDefault="003B6B0E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lastRenderedPageBreak/>
        <w:t xml:space="preserve">Standard ambientali </w:t>
      </w:r>
    </w:p>
    <w:p w14:paraId="30B3A82A" w14:textId="66165F82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5B3FE4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Riduzione nell’uso di pesticidi e fitofarmaci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Una </w:t>
      </w:r>
      <w:hyperlink r:id="rId7" w:history="1">
        <w:r w:rsidRPr="008B08FA">
          <w:rPr>
            <w:rStyle w:val="Collegamentoipertestuale"/>
            <w:rFonts w:ascii="Exo 2" w:eastAsiaTheme="minorHAnsi" w:hAnsi="Exo 2" w:cs="Arial"/>
            <w:sz w:val="22"/>
            <w:szCs w:val="22"/>
            <w:lang w:eastAsia="en-US"/>
          </w:rPr>
          <w:t>lista</w:t>
        </w:r>
      </w:hyperlink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indica quali prodotti pericolosi sono banditi nelle coltivazioni, quelli permessi e quelli consentiti</w:t>
      </w:r>
      <w:r w:rsidR="00EB2AB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 </w:t>
      </w:r>
      <w:r w:rsidR="00EB2ABE"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con moderazione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77471844" w14:textId="226BC425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Vengono promosse le buone pratiche agricole e ambientali, inclusa una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gestione responsabile dell’acqua e dei rifiuti</w:t>
      </w:r>
      <w:r w:rsid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.</w:t>
      </w:r>
    </w:p>
    <w:p w14:paraId="7D7ACDB4" w14:textId="36C0EDB3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Rispetto e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mantenimento della biodiversità e della fertilità del suolo</w:t>
      </w:r>
      <w:r w:rsidR="008B08FA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6B326CE5" w14:textId="10EEDDD5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Divieto di usare OGM</w:t>
      </w:r>
      <w:r w:rsidR="008B08FA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.</w:t>
      </w:r>
    </w:p>
    <w:p w14:paraId="08888CCC" w14:textId="1B508A4C" w:rsidR="00212A3A" w:rsidRPr="003B6B0E" w:rsidRDefault="00212A3A" w:rsidP="003B6B0E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La certificazione biologica non è richiesta, ma promossa e sostenuta con Prezzi Minimi Fairtrade più alti per i prodotti biologici.</w:t>
      </w:r>
    </w:p>
    <w:p w14:paraId="798E2E78" w14:textId="77777777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> </w:t>
      </w:r>
    </w:p>
    <w:p w14:paraId="5E99B2EB" w14:textId="77777777" w:rsidR="00212A3A" w:rsidRPr="003B6B0E" w:rsidRDefault="00212A3A" w:rsidP="00212A3A">
      <w:pPr>
        <w:pStyle w:val="NormaleWeb"/>
        <w:spacing w:before="240" w:beforeAutospacing="0" w:after="240" w:afterAutospacing="0"/>
        <w:jc w:val="center"/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Un sistema globale</w:t>
      </w:r>
    </w:p>
    <w:p w14:paraId="5E73B3D3" w14:textId="5A2DB159" w:rsidR="008B08FA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A livello globale Fairtrade è un movimento che raccoglie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migliaia di persone che chiedono maggiori diritti per i lavoratori </w:t>
      </w:r>
      <w:r w:rsidR="008B08FA"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di asia, Africa e America Latina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e </w:t>
      </w:r>
      <w:r w:rsid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per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l’ambiente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, che condividono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la lotta al lavoro minorile, agli effetti del cambiamento climatico e</w:t>
      </w:r>
      <w:r w:rsid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vogliono impegnarsi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8B08FA"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 xml:space="preserve">per </w:t>
      </w:r>
      <w:r w:rsidRPr="00942E52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redditi e salari più adeguati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</w:t>
      </w:r>
    </w:p>
    <w:p w14:paraId="4971CEFE" w14:textId="1BC733BA" w:rsidR="00212A3A" w:rsidRPr="003B6B0E" w:rsidRDefault="00212A3A" w:rsidP="00212A3A">
      <w:pPr>
        <w:pStyle w:val="NormaleWeb"/>
        <w:spacing w:before="240" w:beforeAutospacing="0" w:after="240" w:afterAutospacing="0"/>
        <w:rPr>
          <w:rFonts w:ascii="Exo 2" w:eastAsiaTheme="minorHAnsi" w:hAnsi="Exo 2" w:cs="Arial"/>
          <w:color w:val="000000"/>
          <w:sz w:val="22"/>
          <w:szCs w:val="22"/>
          <w:lang w:eastAsia="en-US"/>
        </w:rPr>
      </w:pP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Nel mondo ci sono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più di 2.000 “Città Fairtrade”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, centinaia di </w:t>
      </w:r>
      <w:r w:rsidRPr="008B08FA">
        <w:rPr>
          <w:rFonts w:ascii="Exo 2" w:eastAsiaTheme="minorHAnsi" w:hAnsi="Exo 2" w:cs="Arial"/>
          <w:b/>
          <w:bCs/>
          <w:color w:val="000000"/>
          <w:sz w:val="22"/>
          <w:szCs w:val="22"/>
          <w:lang w:eastAsia="en-US"/>
        </w:rPr>
        <w:t>gruppi di volontari, ma anche scuole e Università che condividono questi valori</w:t>
      </w:r>
      <w:r w:rsidRPr="003B6B0E">
        <w:rPr>
          <w:rFonts w:ascii="Exo 2" w:eastAsiaTheme="minorHAnsi" w:hAnsi="Exo 2" w:cs="Arial"/>
          <w:color w:val="000000"/>
          <w:sz w:val="22"/>
          <w:szCs w:val="22"/>
          <w:lang w:eastAsia="en-US"/>
        </w:rPr>
        <w:t xml:space="preserve">. Grazie al supporto di tutti Fairtrade lavora per promuovere presso i governi nazionali e le istituzioni internazionali pratiche più rispettose dei diritti dei lavoratori. </w:t>
      </w:r>
    </w:p>
    <w:p w14:paraId="52480765" w14:textId="77777777" w:rsidR="00167DA3" w:rsidRPr="003B6B0E" w:rsidRDefault="00167DA3" w:rsidP="003E173A">
      <w:pPr>
        <w:rPr>
          <w:rFonts w:ascii="Exo 2" w:hAnsi="Exo 2" w:cs="Arial"/>
          <w:color w:val="000000"/>
        </w:rPr>
      </w:pPr>
    </w:p>
    <w:sectPr w:rsidR="00167DA3" w:rsidRPr="003B6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3093"/>
    <w:multiLevelType w:val="multilevel"/>
    <w:tmpl w:val="835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E48CA"/>
    <w:multiLevelType w:val="hybridMultilevel"/>
    <w:tmpl w:val="538EEF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A47BA"/>
    <w:multiLevelType w:val="hybridMultilevel"/>
    <w:tmpl w:val="D97AB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B58C8"/>
    <w:multiLevelType w:val="hybridMultilevel"/>
    <w:tmpl w:val="3C7A77EC"/>
    <w:lvl w:ilvl="0" w:tplc="F524E664">
      <w:numFmt w:val="bullet"/>
      <w:lvlText w:val="·"/>
      <w:lvlJc w:val="left"/>
      <w:pPr>
        <w:ind w:left="0" w:hanging="360"/>
      </w:pPr>
      <w:rPr>
        <w:rFonts w:ascii="Exo 2" w:eastAsiaTheme="minorHAnsi" w:hAnsi="Exo 2" w:cs="Aria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99183324">
    <w:abstractNumId w:val="0"/>
  </w:num>
  <w:num w:numId="2" w16cid:durableId="289744065">
    <w:abstractNumId w:val="2"/>
  </w:num>
  <w:num w:numId="3" w16cid:durableId="295136940">
    <w:abstractNumId w:val="3"/>
  </w:num>
  <w:num w:numId="4" w16cid:durableId="103562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3A"/>
    <w:rsid w:val="00043E05"/>
    <w:rsid w:val="000704FA"/>
    <w:rsid w:val="001450B5"/>
    <w:rsid w:val="00167DA3"/>
    <w:rsid w:val="002011FD"/>
    <w:rsid w:val="00201555"/>
    <w:rsid w:val="00212A3A"/>
    <w:rsid w:val="002D0E99"/>
    <w:rsid w:val="0033128B"/>
    <w:rsid w:val="00357324"/>
    <w:rsid w:val="00370620"/>
    <w:rsid w:val="003B6B0E"/>
    <w:rsid w:val="003E173A"/>
    <w:rsid w:val="003E409C"/>
    <w:rsid w:val="004379DC"/>
    <w:rsid w:val="004C133A"/>
    <w:rsid w:val="00534742"/>
    <w:rsid w:val="00540099"/>
    <w:rsid w:val="0056796C"/>
    <w:rsid w:val="00571DB4"/>
    <w:rsid w:val="005B3FE4"/>
    <w:rsid w:val="00630519"/>
    <w:rsid w:val="00742C0E"/>
    <w:rsid w:val="00754A73"/>
    <w:rsid w:val="008559E3"/>
    <w:rsid w:val="008B08FA"/>
    <w:rsid w:val="008F0711"/>
    <w:rsid w:val="00942E52"/>
    <w:rsid w:val="00A43A84"/>
    <w:rsid w:val="00B769E0"/>
    <w:rsid w:val="00C04BE4"/>
    <w:rsid w:val="00C93F83"/>
    <w:rsid w:val="00D8798C"/>
    <w:rsid w:val="00DA783C"/>
    <w:rsid w:val="00EB2ABE"/>
    <w:rsid w:val="00EE4738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DAFA"/>
  <w15:chartTrackingRefBased/>
  <w15:docId w15:val="{7FB23EB4-6131-4F0A-9B0A-F5539023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D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7DA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F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21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7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hrome-extension://efaidnbmnnhttps:/files.fairtrade.net/standards/Hazardous_Materials_List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0EFC-56BA-4DD3-ACCB-9C672CAE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Falezza - Fairtrade Italia</dc:creator>
  <cp:keywords/>
  <dc:description/>
  <cp:lastModifiedBy>Monica Falezza - Fairtrade Italia</cp:lastModifiedBy>
  <cp:revision>17</cp:revision>
  <dcterms:created xsi:type="dcterms:W3CDTF">2022-08-11T07:54:00Z</dcterms:created>
  <dcterms:modified xsi:type="dcterms:W3CDTF">2024-06-20T09:58:00Z</dcterms:modified>
</cp:coreProperties>
</file>